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sz w:val="24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MT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 XLIV</w:t>
      </w:r>
    </w:p>
    <w:p w14:paraId="327777EC" w14:textId="412B4B5A" w:rsidR="002648B0" w:rsidRPr="002A677E" w:rsidRDefault="00D03B1B" w:rsidP="00C87CE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għad-divulgazzjoni dwar l-iskoperturi għall-kriptoassi</w:t>
      </w:r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2" w:name="_Toc163551527"/>
      <w:bookmarkEnd w:id="0"/>
      <w:bookmarkEnd w:id="1"/>
      <w:r>
        <w:rPr>
          <w:b/>
          <w:sz w:val="24"/>
          <w:u w:val="none"/>
          <w:rFonts w:ascii="Times New Roman" w:hAnsi="Times New Roman"/>
        </w:rPr>
        <w:t xml:space="preserve">Mudell EU CAE 1- Mudell għall-kriptoassi</w:t>
      </w:r>
      <w:bookmarkEnd w:id="2"/>
      <w:r>
        <w:t xml:space="preserve">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Format fiss.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 xml:space="preserve">L-istituzzjonijiet għandhom japplikaw l-istruzzjonijiet ta’ hawn taħt biex jimlew il-Mudell EU CAE1 kif ippreżentat fl-Anness XLIII tas-soluzzjonijiet tal-IT tal-EBA biex jiddivulgaw l-informazzjoni dwar l-ammont tal-iskopertura ponderat għar-riskju u r-rekwiżiti ta’ fondi proprji għat-tipi ta’ skoperturi għall-kriptoassi msemmija fl-Artikolu 501d(2) tar-Regolament (UE) Nru 575/2013</w:t>
      </w:r>
      <w:r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 xml:space="preserve"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 xml:space="preserve">Referenzi legali u struzzjonijiet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Numru tal-kolonna</w:t>
            </w:r>
            <w:r>
              <w:t xml:space="preserve">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 xml:space="preserve">Spjegazzjoni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 xml:space="preserve"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Valur tal-iskopertura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Il-valur tal-iskoperturi għall-kriptoassi għat-tipi differenti ta’ kriptoassi msemmija fl-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Artikolu 501d(2)</w:t>
            </w:r>
            <w:r>
              <w:t xml:space="preserve"> tar-Regolament (UE) Nru 575/2013</w:t>
            </w:r>
            <w:r>
              <w:rPr>
                <w:rStyle w:val="InstructionsTabelleberschrift"/>
              </w:rPr>
              <w:t xml:space="preserve">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 xml:space="preserve">b</w:t>
            </w:r>
          </w:p>
        </w:tc>
        <w:tc>
          <w:tcPr>
            <w:tcW w:w="8363" w:type="dxa"/>
          </w:tcPr>
          <w:p w14:paraId="18B3A388" w14:textId="519B3BC9" w:rsidR="00E46AC0" w:rsidRP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Ammont tal-iskopertura ponderat għar-riskju (RWEA, Risk weighted exposure amounts)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L-Artikolu 501d(2)</w:t>
            </w:r>
            <w:r>
              <w:t xml:space="preserve"> tar-Regolament (UE) Nru 575/2013.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L-ammont tal-iskopertura ponderat għar-riskju għat-tipi differenti ta’ skoperturi għall-kriptoassi kkalkolati f’konformità mal-Artikolu 501d(2)f</w:t>
            </w:r>
            <w:r>
              <w:t xml:space="preserve"> tar-Regolament (UE) Nru 575/2013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 xml:space="preserve"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Rekwiżiti ta’ fondi proprji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L-Artikolu 501d(2)</w:t>
            </w:r>
            <w:r>
              <w:t xml:space="preserve"> tar-Regolament (UE) Nru 575/2013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Rekwiżiti ta’ fondi proprji li jikkorrispondu għall-ammont tal-iskopertura ponderat għar-riskju għat-tipi differenti ta’ kriptoassi.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 xml:space="preserve">Referenzi legali u struzzjonijiet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 xml:space="preserve">Numru tar-ringiela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 xml:space="preserve">Spjegazzjoni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t xml:space="preserve"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rFonts w:ascii="Times New Roman" w:hAnsi="Times New Roman"/>
              </w:rPr>
              <w:t xml:space="preserve">Assi tradizzjonali tokenizzati</w:t>
            </w:r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L-Artikolu 501d(2), il-punt (a)</w:t>
            </w:r>
            <w:r>
              <w:t xml:space="preserve"> tar-Regolament (UE) Nru 575/2013.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 xml:space="preserve"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Tokens irreferenzjati ma’ assi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t xml:space="preserve">L-Artikolu 501d(2), il-punt (b) tar-Regolament (UE) Nru 575/2013.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t xml:space="preserve"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Skoperturi għal kriptoassi oħrajn</w:t>
            </w:r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L-Artikolu 501d(2), il-punt (c)</w:t>
            </w:r>
            <w:r>
              <w:t xml:space="preserve"> tar-Regolament (UE) Nru 575/2013.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Skoperturi oħra għall-kriptoassi li huma differenti mill-punti (a) u (b)</w:t>
            </w:r>
            <w:r>
              <w:t xml:space="preserve"> tal-Artikolu 501d(2) tar-Regolament (UE) Nru 575/2013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 xml:space="preserve"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Totali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Valuri totali kkalkolati bħala somma tar-ringieli 1, 2, 3.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L-iskopertura totali għar-riskju hija ugwali għall-ammont divulgat fir-ringiela EU-24 a tal-mudell EU 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b w:val="0"/>
                <w:bCs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L-iskopertura totali għar-riskju hija ugwali għall-ammont divulgat fir-ringiela EU-24 a tal-mudell EU 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Partita tal-memorandum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 xml:space="preserve"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Skoperturi għal kriptoassi oħrajn espressi bħala perċentwal tal-kapital tat-T1 tal-istituzzjonijiet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L-Artikolu 501d(3)</w:t>
            </w:r>
            <w:r>
              <w:t xml:space="preserve"> tar-Regolament (UE) Nru 575/2013.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>
      <w:rPr>
        <w:sz w:val="20"/>
        <w:rFonts w:ascii="Times New Roman" w:hAnsi="Times New Roman"/>
      </w:rPr>
      <w:fldChar w:fldCharType="begin"/>
    </w:r>
    <w:r>
      <w:rPr>
        <w:sz w:val="20"/>
        <w:rFonts w:ascii="Times New Roman" w:hAnsi="Times New Roman"/>
      </w:rPr>
      <w:instrText xml:space="preserve"> PAGE   \* MERGEFORMAT </w:instrText>
    </w:r>
    <w:r>
      <w:rPr>
        <w:sz w:val="20"/>
        <w:rFonts w:ascii="Times New Roman" w:hAnsi="Times New Roman"/>
      </w:rPr>
      <w:fldChar w:fldCharType="separate"/>
    </w:r>
    <w:r>
      <w:rPr>
        <w:sz w:val="20"/>
        <w:rFonts w:ascii="Times New Roman" w:hAnsi="Times New Roman"/>
      </w:rPr>
      <w:t xml:space="preserve">42</w:t>
    </w:r>
    <w:r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sz w:val="20"/>
          <w:szCs w:val="20"/>
          <w:rFonts w:ascii="Times New Roman" w:eastAsia="Calibri" w:hAnsi="Times New Roman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sz w:val="20"/>
          <w:rFonts w:ascii="Times New Roman" w:hAnsi="Times New Roman"/>
        </w:rPr>
        <w:t xml:space="preserve"> </w:t>
      </w:r>
      <w:r>
        <w:tab/>
      </w:r>
      <w:r>
        <w:t xml:space="preserve">Ir-Regolament (UE) Nru 575/2013 tal-Parlament Ewropew u tal-Kunsill tas-26 ta’ Ġunju 2013 dwar ir-rekwiżiti prudenzjali għall-istituzzjonijiet ta’ kreditu u d-ditti tal-investiment u li jemenda r-Regolament (UE) Nru 648/2012, kif emendat bir-Regolament (UE) Nru 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 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Ir-Regolament - UE - 2024/1623 - MT - EUR-Lex (europa.eu)</w:t>
        </w:r>
      </w:hyperlink>
      <w:r>
        <w:t xml:space="preserve"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Użu Regolari tal-EBA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Użu Regolari tal-EBA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Użu Regolari tal-EB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Użu Regolari tal-EBA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mt-MT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mt-MT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mt-MT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mt-MT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mt-MT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mt-MT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mt-M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mt-M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mt-MT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mt-MT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mt-MT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mt-MT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mt-MT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mt-MT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mt-MT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mt-M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mt-MT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mt-MT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mt-MT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mt-MT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mt-MT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mt-MT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mt-MT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mt-MT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mt-MT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mt-MT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mt-MT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mt-MT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mt-MT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mt-MT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mt-MT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mt-MT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mt-MT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mt-MT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mt-MT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mt-MT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mt-MT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mt-M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mt-MT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88E3F8-4E03-4558-A42E-8B4AD7DAE4CE}"/>
</file>

<file path=customXml/itemProps3.xml><?xml version="1.0" encoding="utf-8"?>
<ds:datastoreItem xmlns:ds="http://schemas.openxmlformats.org/officeDocument/2006/customXml" ds:itemID="{1400F882-5799-48F4-A0C3-B08B2A7CE9D8}"/>
</file>

<file path=customXml/itemProps4.xml><?xml version="1.0" encoding="utf-8"?>
<ds:datastoreItem xmlns:ds="http://schemas.openxmlformats.org/officeDocument/2006/customXml" ds:itemID="{74C6F046-8A0A-4214-8C77-4DFFB8D2035B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1727</Characters>
  <Application>Microsoft Office Word</Application>
  <DocSecurity>0</DocSecurity>
  <Lines>61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2024-09-26T14:35:00Z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